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黑体" w:hAnsi="宋体" w:eastAsia="黑体"/>
          <w:b/>
          <w:spacing w:val="-11"/>
          <w:sz w:val="32"/>
          <w:szCs w:val="32"/>
        </w:rPr>
      </w:pPr>
      <w:r>
        <w:rPr>
          <w:rFonts w:hint="eastAsia" w:ascii="黑体" w:hAnsi="宋体" w:eastAsia="黑体"/>
          <w:b/>
          <w:spacing w:val="-11"/>
          <w:sz w:val="32"/>
          <w:szCs w:val="32"/>
        </w:rPr>
        <w:t>职位说明书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558"/>
        <w:gridCol w:w="437"/>
        <w:gridCol w:w="578"/>
        <w:gridCol w:w="211"/>
        <w:gridCol w:w="2187"/>
        <w:gridCol w:w="1776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岗位名称</w:t>
            </w:r>
          </w:p>
        </w:tc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高级职业经理人（总经理助理）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岗位编号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所在部门</w:t>
            </w:r>
          </w:p>
        </w:tc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总经理室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职系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直接上级</w:t>
            </w:r>
          </w:p>
        </w:tc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总经理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直接下级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所辖人数</w:t>
            </w:r>
          </w:p>
        </w:tc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可晋升岗位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工作地点</w:t>
            </w:r>
          </w:p>
        </w:tc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宁波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撰写日期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职责概述：协助总经理开展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门店</w:t>
            </w:r>
            <w:r>
              <w:rPr>
                <w:rFonts w:hint="eastAsia" w:ascii="楷体_GB2312" w:hAnsi="宋体" w:eastAsia="楷体_GB2312"/>
                <w:sz w:val="24"/>
              </w:rPr>
              <w:t>运营管理工作，分管和主持相关运营范围内的各项具体工作。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一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组织实施年度运营计划和预算，及时提出对企业计划和预算调整建议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二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负责公司相关运营指标的落实、执行、督促、检查和监控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三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制订和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落实</w:t>
            </w:r>
            <w:r>
              <w:rPr>
                <w:rFonts w:hint="eastAsia" w:ascii="楷体_GB2312" w:hAnsi="宋体" w:eastAsia="楷体_GB2312"/>
                <w:sz w:val="24"/>
              </w:rPr>
              <w:t>各项运营制度、规范、操作规程与考核办法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四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根据运营状况，负责组织召集和召开运营工作分析例会，及时优化和完善公司运营工作策略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五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开展商业运营市场分析研究，定期提供分析报告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六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参与公司总体发展战略的编写、制订，对商业市场发展方向、热点有正确和及时的把握，就公司总体发展提出专业意见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七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保障和维护公司各相关职能正常运行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八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jc w:val="left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董事会或总经理布置的其他工作。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工作协作关系：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内部协调关系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各分管领导，分管所辖各部门、分公司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外部协调关系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相关政府部门、主管单位、上级公司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客户</w:t>
            </w:r>
            <w:r>
              <w:rPr>
                <w:rFonts w:hint="eastAsia" w:ascii="楷体_GB2312" w:hAnsi="宋体" w:eastAsia="楷体_GB2312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教育水平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6065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6065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职称</w:t>
            </w:r>
          </w:p>
        </w:tc>
        <w:tc>
          <w:tcPr>
            <w:tcW w:w="6065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无特别要求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工作经验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工作年限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/>
                <w:sz w:val="24"/>
              </w:rPr>
              <w:t>及以上，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其中商业运营、招商、企划、营销、旅游发展、客户服务、综合管理等相关工作经验2年及以上。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素质要求</w:t>
            </w:r>
          </w:p>
        </w:tc>
        <w:tc>
          <w:tcPr>
            <w:tcW w:w="578" w:type="dxa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一</w:t>
            </w:r>
          </w:p>
        </w:tc>
        <w:tc>
          <w:tcPr>
            <w:tcW w:w="6276" w:type="dxa"/>
            <w:gridSpan w:val="4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具有较好的政治素质。坚决执行党的路线方针政策，认同公司发展理念与发展模式，具有强烈的事业心和责任感，认真履行经济责任、政治责任和社会责任。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二</w:t>
            </w:r>
          </w:p>
        </w:tc>
        <w:tc>
          <w:tcPr>
            <w:tcW w:w="6276" w:type="dxa"/>
            <w:gridSpan w:val="4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具有较强的综合管理能力。有较强的决策判断能力、沟通协调能力、处理复杂问题与突发事件的能力，具有强烈的开拓创新精神和市场竞争意识，同类岗位上工作业绩突出。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三</w:t>
            </w:r>
          </w:p>
        </w:tc>
        <w:tc>
          <w:tcPr>
            <w:tcW w:w="6276" w:type="dxa"/>
            <w:gridSpan w:val="4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具有良好的职业素养，勤勉尽责、团结合作，廉洁从业，具有扎实的工作作风和良好的职业信誉。具有良好的心理素质和能够履行繁重领导职务的身体素质。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必备技能</w:t>
            </w:r>
          </w:p>
        </w:tc>
        <w:tc>
          <w:tcPr>
            <w:tcW w:w="6854" w:type="dxa"/>
            <w:gridSpan w:val="5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薪资待遇：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20-60万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522" w:type="dxa"/>
            <w:gridSpan w:val="8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67EC4"/>
    <w:rsid w:val="7156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2020-11-25T07:06:00Z</dcterms:created>
  <dc:creator>啊猛</dc:creator>
  <cp:lastModifiedBy>啊猛</cp:lastModifiedBy>
  <dcterms:modified xsi:type="dcterms:W3CDTF">2020-11-25T07:34:36Z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